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773B" w14:textId="02D463E5" w:rsidR="00AB3301" w:rsidRPr="00BD2AC4" w:rsidRDefault="00B96B4E" w:rsidP="00235563">
      <w:pPr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="00AB3301" w:rsidRPr="00B96B4E">
        <w:rPr>
          <w:rFonts w:ascii="Calibri" w:eastAsia="Calibri" w:hAnsi="Calibri" w:cs="Calibri"/>
          <w:sz w:val="24"/>
          <w:szCs w:val="24"/>
        </w:rPr>
        <w:t xml:space="preserve">ałącznik nr </w:t>
      </w:r>
      <w:r w:rsidR="008D7604">
        <w:rPr>
          <w:rFonts w:ascii="Calibri" w:eastAsia="Calibri" w:hAnsi="Calibri" w:cs="Calibri"/>
          <w:sz w:val="24"/>
          <w:szCs w:val="24"/>
        </w:rPr>
        <w:t>5</w:t>
      </w:r>
      <w:r w:rsidR="00AB3301" w:rsidRPr="00B96B4E">
        <w:rPr>
          <w:rFonts w:ascii="Calibri" w:eastAsia="Calibri" w:hAnsi="Calibri" w:cs="Calibri"/>
          <w:sz w:val="24"/>
          <w:szCs w:val="24"/>
        </w:rPr>
        <w:t xml:space="preserve"> do</w:t>
      </w:r>
      <w:r w:rsidR="00AB3301" w:rsidRPr="2CBFE841">
        <w:rPr>
          <w:rFonts w:ascii="Calibri" w:eastAsia="Calibri" w:hAnsi="Calibri" w:cs="Calibri"/>
          <w:sz w:val="24"/>
          <w:szCs w:val="24"/>
        </w:rPr>
        <w:t xml:space="preserve"> </w:t>
      </w:r>
      <w:r w:rsidR="00EC3B6B" w:rsidRPr="2CBFE841">
        <w:rPr>
          <w:rFonts w:ascii="Calibri" w:eastAsia="Calibri" w:hAnsi="Calibri" w:cs="Calibri"/>
          <w:sz w:val="24"/>
          <w:szCs w:val="24"/>
        </w:rPr>
        <w:t xml:space="preserve">wzoru </w:t>
      </w:r>
      <w:r w:rsidR="00AB3301" w:rsidRPr="2CBFE841">
        <w:rPr>
          <w:rFonts w:ascii="Calibri" w:eastAsia="Calibri" w:hAnsi="Calibri" w:cs="Calibri"/>
          <w:sz w:val="24"/>
          <w:szCs w:val="24"/>
        </w:rPr>
        <w:t>umowy o powierzenie grantu</w:t>
      </w:r>
      <w:r w:rsidR="00631EFA" w:rsidRPr="2CBFE841">
        <w:rPr>
          <w:rFonts w:ascii="Calibri" w:eastAsia="Calibri" w:hAnsi="Calibri" w:cs="Calibri"/>
          <w:sz w:val="24"/>
          <w:szCs w:val="24"/>
        </w:rPr>
        <w:t xml:space="preserve">: </w:t>
      </w:r>
      <w:r w:rsidR="00A832CE" w:rsidRPr="2CBFE841">
        <w:rPr>
          <w:rFonts w:ascii="Calibri" w:eastAsia="Calibri" w:hAnsi="Calibri" w:cs="Calibri"/>
          <w:sz w:val="24"/>
          <w:szCs w:val="24"/>
        </w:rPr>
        <w:t>T</w:t>
      </w:r>
      <w:r w:rsidR="00631EFA" w:rsidRPr="2CBFE841">
        <w:rPr>
          <w:rFonts w:ascii="Calibri" w:eastAsia="Calibri" w:hAnsi="Calibri" w:cs="Calibri"/>
          <w:sz w:val="24"/>
          <w:szCs w:val="24"/>
        </w:rPr>
        <w:t>aryfikator korekt</w:t>
      </w:r>
      <w:r w:rsidR="007970C7">
        <w:rPr>
          <w:rFonts w:ascii="Calibri" w:eastAsia="Calibri" w:hAnsi="Calibri" w:cs="Calibri"/>
          <w:sz w:val="24"/>
          <w:szCs w:val="24"/>
        </w:rPr>
        <w:t xml:space="preserve"> z tytułu naruszeń zasad udzielania zamówień</w:t>
      </w:r>
    </w:p>
    <w:p w14:paraId="1EFB28A5" w14:textId="5BA0BAE5" w:rsidR="00BD2AC4" w:rsidRPr="001E53E3" w:rsidRDefault="00AB3301" w:rsidP="00235563">
      <w:pPr>
        <w:pStyle w:val="Nagwek1"/>
      </w:pPr>
      <w:r w:rsidRPr="005266F8">
        <w:t>Taryfikator</w:t>
      </w:r>
      <w:r w:rsidRPr="001E53E3">
        <w:t xml:space="preserve"> korekt</w:t>
      </w:r>
      <w:r w:rsidR="00704246">
        <w:t xml:space="preserve"> z tytułu naruszeń </w:t>
      </w:r>
      <w:r w:rsidR="0025419C">
        <w:t>zasad udzielania zamówień</w:t>
      </w:r>
    </w:p>
    <w:p w14:paraId="45044CEA" w14:textId="77777777" w:rsidR="00504990" w:rsidRDefault="00AB3301" w:rsidP="00504990">
      <w:pPr>
        <w:tabs>
          <w:tab w:val="left" w:pos="9356"/>
        </w:tabs>
        <w:snapToGrid w:val="0"/>
        <w:spacing w:before="0" w:after="120"/>
        <w:contextualSpacing/>
      </w:pPr>
      <w:r w:rsidRPr="230562C4">
        <w:rPr>
          <w:rFonts w:ascii="Calibri" w:hAnsi="Calibri" w:cs="Calibri"/>
          <w:sz w:val="24"/>
          <w:szCs w:val="24"/>
        </w:rPr>
        <w:t xml:space="preserve">W przypadku </w:t>
      </w:r>
      <w:r w:rsidR="0010130E" w:rsidRPr="230562C4">
        <w:rPr>
          <w:rFonts w:ascii="Calibri" w:hAnsi="Calibri" w:cs="Calibri"/>
          <w:sz w:val="24"/>
          <w:szCs w:val="24"/>
        </w:rPr>
        <w:t xml:space="preserve">naruszeń </w:t>
      </w:r>
      <w:r w:rsidR="00EC706F">
        <w:rPr>
          <w:rFonts w:ascii="Calibri" w:hAnsi="Calibri" w:cs="Calibri"/>
          <w:sz w:val="24"/>
          <w:szCs w:val="24"/>
        </w:rPr>
        <w:t>zasad</w:t>
      </w:r>
      <w:r w:rsidR="00352E42" w:rsidRPr="230562C4">
        <w:rPr>
          <w:rFonts w:ascii="Calibri" w:hAnsi="Calibri" w:cs="Calibri"/>
          <w:sz w:val="24"/>
          <w:szCs w:val="24"/>
        </w:rPr>
        <w:t xml:space="preserve"> udzielania</w:t>
      </w:r>
      <w:r w:rsidRPr="230562C4">
        <w:rPr>
          <w:rFonts w:ascii="Calibri" w:hAnsi="Calibri" w:cs="Calibri"/>
          <w:sz w:val="24"/>
          <w:szCs w:val="24"/>
        </w:rPr>
        <w:t xml:space="preserve"> zamówień, stosuje się poniższy taryfikator korekt </w:t>
      </w:r>
      <w:r w:rsidR="0010130E" w:rsidRPr="230562C4">
        <w:rPr>
          <w:rFonts w:ascii="Calibri" w:hAnsi="Calibri" w:cs="Calibri"/>
          <w:sz w:val="24"/>
          <w:szCs w:val="24"/>
        </w:rPr>
        <w:t>finansowych</w:t>
      </w:r>
      <w:r w:rsidR="00E4333E" w:rsidRPr="230562C4">
        <w:rPr>
          <w:rFonts w:ascii="Calibri" w:hAnsi="Calibri" w:cs="Calibri"/>
          <w:sz w:val="24"/>
          <w:szCs w:val="24"/>
        </w:rPr>
        <w:t>.</w:t>
      </w:r>
    </w:p>
    <w:p w14:paraId="07F8E204" w14:textId="1752A928" w:rsidR="00AB3301" w:rsidRPr="00BD2AC4" w:rsidRDefault="00AB3301" w:rsidP="00504990">
      <w:pPr>
        <w:tabs>
          <w:tab w:val="left" w:pos="9356"/>
        </w:tabs>
        <w:snapToGrid w:val="0"/>
        <w:spacing w:before="0" w:after="120"/>
        <w:contextualSpacing/>
        <w:rPr>
          <w:rFonts w:ascii="Calibri" w:hAnsi="Calibri" w:cs="Calibri"/>
          <w:sz w:val="24"/>
          <w:szCs w:val="24"/>
        </w:rPr>
      </w:pPr>
      <w:r w:rsidRPr="00BD2AC4">
        <w:rPr>
          <w:rFonts w:ascii="Calibri" w:hAnsi="Calibri" w:cs="Calibri"/>
          <w:sz w:val="24"/>
          <w:szCs w:val="24"/>
        </w:rPr>
        <w:t>W przypadku wystąpienia kilku naruszeń</w:t>
      </w:r>
      <w:r w:rsidR="004A5ED0" w:rsidRPr="00BD2AC4">
        <w:rPr>
          <w:rFonts w:ascii="Calibri" w:hAnsi="Calibri" w:cs="Calibri"/>
          <w:sz w:val="24"/>
          <w:szCs w:val="24"/>
        </w:rPr>
        <w:t>,</w:t>
      </w:r>
      <w:r w:rsidRPr="00BD2AC4">
        <w:rPr>
          <w:rFonts w:ascii="Calibri" w:hAnsi="Calibri" w:cs="Calibri"/>
          <w:sz w:val="24"/>
          <w:szCs w:val="24"/>
        </w:rPr>
        <w:t xml:space="preserve"> do ustalenia wysokości </w:t>
      </w:r>
      <w:r w:rsidR="004A5ED0" w:rsidRPr="00BD2AC4">
        <w:rPr>
          <w:rFonts w:ascii="Calibri" w:hAnsi="Calibri" w:cs="Calibri"/>
          <w:sz w:val="24"/>
          <w:szCs w:val="24"/>
        </w:rPr>
        <w:t xml:space="preserve">korekty </w:t>
      </w:r>
      <w:r w:rsidR="00504990" w:rsidRPr="00504990">
        <w:rPr>
          <w:rFonts w:ascii="Calibri" w:hAnsi="Calibri" w:cs="Calibri"/>
          <w:sz w:val="24"/>
          <w:szCs w:val="24"/>
        </w:rPr>
        <w:t>wydatk</w:t>
      </w:r>
      <w:r w:rsidR="00504990" w:rsidRPr="00504990">
        <w:rPr>
          <w:rFonts w:ascii="Calibri" w:hAnsi="Calibri" w:cs="Calibri" w:hint="cs"/>
          <w:sz w:val="24"/>
          <w:szCs w:val="24"/>
        </w:rPr>
        <w:t>ó</w:t>
      </w:r>
      <w:r w:rsidR="00504990" w:rsidRPr="00504990">
        <w:rPr>
          <w:rFonts w:ascii="Calibri" w:hAnsi="Calibri" w:cs="Calibri"/>
          <w:sz w:val="24"/>
          <w:szCs w:val="24"/>
        </w:rPr>
        <w:t>w kwalifikowalnych dla danego zam</w:t>
      </w:r>
      <w:r w:rsidR="00504990" w:rsidRPr="00504990">
        <w:rPr>
          <w:rFonts w:ascii="Calibri" w:hAnsi="Calibri" w:cs="Calibri" w:hint="cs"/>
          <w:sz w:val="24"/>
          <w:szCs w:val="24"/>
        </w:rPr>
        <w:t>ó</w:t>
      </w:r>
      <w:r w:rsidR="00504990" w:rsidRPr="00504990">
        <w:rPr>
          <w:rFonts w:ascii="Calibri" w:hAnsi="Calibri" w:cs="Calibri"/>
          <w:sz w:val="24"/>
          <w:szCs w:val="24"/>
        </w:rPr>
        <w:t>wienia</w:t>
      </w:r>
      <w:r w:rsidR="00504990" w:rsidRPr="00504990" w:rsidDel="00504990">
        <w:rPr>
          <w:rFonts w:ascii="Calibri" w:hAnsi="Calibri" w:cs="Calibri"/>
          <w:sz w:val="24"/>
          <w:szCs w:val="24"/>
        </w:rPr>
        <w:t xml:space="preserve"> </w:t>
      </w:r>
      <w:r w:rsidRPr="00BD2AC4">
        <w:rPr>
          <w:rFonts w:ascii="Calibri" w:hAnsi="Calibri" w:cs="Calibri"/>
          <w:sz w:val="24"/>
          <w:szCs w:val="24"/>
        </w:rPr>
        <w:t>przyjmuje się najwyższy ze wskaźników procentowych, jaki w</w:t>
      </w:r>
      <w:r w:rsidR="00613878" w:rsidRPr="00BD2AC4">
        <w:rPr>
          <w:rFonts w:ascii="Calibri" w:hAnsi="Calibri" w:cs="Calibri"/>
          <w:sz w:val="24"/>
          <w:szCs w:val="24"/>
        </w:rPr>
        <w:t>edłu</w:t>
      </w:r>
      <w:r w:rsidRPr="00BD2AC4">
        <w:rPr>
          <w:rFonts w:ascii="Calibri" w:hAnsi="Calibri" w:cs="Calibri"/>
          <w:sz w:val="24"/>
          <w:szCs w:val="24"/>
        </w:rPr>
        <w:t>g poniższej tabeli zostan</w:t>
      </w:r>
      <w:r w:rsidR="00352E42" w:rsidRPr="00BD2AC4">
        <w:rPr>
          <w:rFonts w:ascii="Calibri" w:hAnsi="Calibri" w:cs="Calibri"/>
          <w:sz w:val="24"/>
          <w:szCs w:val="24"/>
        </w:rPr>
        <w:t>ie</w:t>
      </w:r>
      <w:r w:rsidRPr="00BD2AC4">
        <w:rPr>
          <w:rFonts w:ascii="Calibri" w:hAnsi="Calibri" w:cs="Calibri"/>
          <w:sz w:val="24"/>
          <w:szCs w:val="24"/>
        </w:rPr>
        <w:t xml:space="preserve"> dla tych naruszeń ustalon</w:t>
      </w:r>
      <w:r w:rsidR="00352E42" w:rsidRPr="00BD2AC4">
        <w:rPr>
          <w:rFonts w:ascii="Calibri" w:hAnsi="Calibri" w:cs="Calibri"/>
          <w:sz w:val="24"/>
          <w:szCs w:val="24"/>
        </w:rPr>
        <w:t>y</w:t>
      </w:r>
      <w:r w:rsidRPr="00BD2AC4">
        <w:rPr>
          <w:rFonts w:ascii="Calibri" w:hAnsi="Calibri" w:cs="Calibri"/>
          <w:sz w:val="24"/>
          <w:szCs w:val="24"/>
        </w:rPr>
        <w:t>.</w:t>
      </w:r>
    </w:p>
    <w:tbl>
      <w:tblPr>
        <w:tblStyle w:val="Tabela-Siatka"/>
        <w:tblW w:w="9499" w:type="dxa"/>
        <w:tblLook w:val="04A0" w:firstRow="1" w:lastRow="0" w:firstColumn="1" w:lastColumn="0" w:noHBand="0" w:noVBand="1"/>
        <w:tblCaption w:val="Tabela z taryfikatorem korekt z tytułu naruszeń zasad udzielania zamówień"/>
      </w:tblPr>
      <w:tblGrid>
        <w:gridCol w:w="562"/>
        <w:gridCol w:w="7223"/>
        <w:gridCol w:w="1714"/>
      </w:tblGrid>
      <w:tr w:rsidR="00722F32" w:rsidRPr="00BD2AC4" w14:paraId="4D7F4EC3" w14:textId="4D49B74B" w:rsidTr="00B61C91">
        <w:trPr>
          <w:cantSplit/>
          <w:trHeight w:val="924"/>
          <w:tblHeader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8C9A70" w14:textId="6BB79233" w:rsidR="00722F32" w:rsidRPr="00BD2AC4" w:rsidRDefault="00722F32" w:rsidP="005455E7">
            <w:pPr>
              <w:pStyle w:val="Nagwek3"/>
              <w:spacing w:after="120" w:line="276" w:lineRule="auto"/>
              <w:contextualSpacing/>
            </w:pPr>
            <w:r w:rsidRPr="00BD2AC4">
              <w:t>Lp.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180DBA4B" w14:textId="6D360A35" w:rsidR="00722F32" w:rsidRPr="00BD2AC4" w:rsidRDefault="00722F32" w:rsidP="005455E7">
            <w:pPr>
              <w:pStyle w:val="Nagwek3"/>
              <w:spacing w:after="120" w:line="276" w:lineRule="auto"/>
              <w:contextualSpacing/>
            </w:pPr>
            <w:r w:rsidRPr="00BD2AC4">
              <w:t>Kategoria naruszenia zasad udzielania zamówienia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61B08F88" w14:textId="37BC9F4D" w:rsidR="00722F32" w:rsidRPr="00BD2AC4" w:rsidRDefault="00722F32" w:rsidP="005455E7">
            <w:pPr>
              <w:pStyle w:val="Nagwek3"/>
              <w:spacing w:after="120" w:line="276" w:lineRule="auto"/>
              <w:contextualSpacing/>
            </w:pPr>
            <w:r w:rsidRPr="00BD2AC4">
              <w:t>Stawka procentowa korekty</w:t>
            </w:r>
          </w:p>
        </w:tc>
      </w:tr>
      <w:tr w:rsidR="00722F32" w:rsidRPr="00BD2AC4" w14:paraId="1CD18747" w14:textId="2B21DD10" w:rsidTr="7DE435D9">
        <w:trPr>
          <w:cantSplit/>
          <w:trHeight w:val="278"/>
        </w:trPr>
        <w:tc>
          <w:tcPr>
            <w:tcW w:w="562" w:type="dxa"/>
          </w:tcPr>
          <w:p w14:paraId="27FD806F" w14:textId="05248F55" w:rsidR="00722F32" w:rsidRPr="00BD2AC4" w:rsidRDefault="00722F32" w:rsidP="005455E7">
            <w:pPr>
              <w:pStyle w:val="Akapitzlist"/>
              <w:numPr>
                <w:ilvl w:val="0"/>
                <w:numId w:val="12"/>
              </w:numPr>
              <w:tabs>
                <w:tab w:val="left" w:pos="150"/>
                <w:tab w:val="left" w:pos="570"/>
              </w:tabs>
              <w:spacing w:after="120" w:line="276" w:lineRule="auto"/>
              <w:ind w:left="306" w:right="-6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4334E3E3" w14:textId="5FE48F52" w:rsidR="00722F32" w:rsidRPr="00BD2AC4" w:rsidRDefault="00722F32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Brak upublicznienia zapytania o udzielenie zamówienia</w:t>
            </w:r>
            <w:r w:rsidR="007538E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38E5" w:rsidRPr="007538E5">
              <w:rPr>
                <w:rFonts w:ascii="Calibri" w:hAnsi="Calibri" w:cs="Calibri"/>
                <w:sz w:val="24"/>
                <w:szCs w:val="24"/>
              </w:rPr>
              <w:t>(jeśli d</w:t>
            </w:r>
            <w:r w:rsidR="00CB7BEB">
              <w:rPr>
                <w:rFonts w:ascii="Calibri" w:hAnsi="Calibri" w:cs="Calibri"/>
                <w:sz w:val="24"/>
                <w:szCs w:val="24"/>
              </w:rPr>
              <w:t>otyczy)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F1752D4" w14:textId="0BA2A9B4" w:rsidR="00722F32" w:rsidRPr="00BD2AC4" w:rsidRDefault="00722F32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37DAA">
              <w:rPr>
                <w:rFonts w:ascii="Calibri" w:hAnsi="Calibri" w:cs="Calibri"/>
                <w:sz w:val="24"/>
                <w:szCs w:val="24"/>
              </w:rPr>
              <w:t>do 50%</w:t>
            </w:r>
          </w:p>
        </w:tc>
      </w:tr>
      <w:tr w:rsidR="00D56CE9" w:rsidRPr="00BD2AC4" w14:paraId="13141990" w14:textId="77777777" w:rsidTr="7DE435D9">
        <w:trPr>
          <w:cantSplit/>
        </w:trPr>
        <w:tc>
          <w:tcPr>
            <w:tcW w:w="562" w:type="dxa"/>
          </w:tcPr>
          <w:p w14:paraId="6DCFD028" w14:textId="77777777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35"/>
                <w:tab w:val="left" w:pos="57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5871769B" w14:textId="3C1EA5DA" w:rsidR="00D56CE9" w:rsidRPr="002B1C6D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Nieprawidłowe upublicznienie zapytania o udzielenie zamówienia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13DFFDB1" w14:textId="7ECD7009" w:rsidR="00D56CE9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do 25%</w:t>
            </w:r>
          </w:p>
        </w:tc>
      </w:tr>
      <w:tr w:rsidR="00D56CE9" w:rsidRPr="00BD2AC4" w14:paraId="165638A5" w14:textId="6F11F6A7" w:rsidTr="7DE435D9">
        <w:trPr>
          <w:cantSplit/>
        </w:trPr>
        <w:tc>
          <w:tcPr>
            <w:tcW w:w="562" w:type="dxa"/>
          </w:tcPr>
          <w:p w14:paraId="71EE0678" w14:textId="657E613C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35"/>
                <w:tab w:val="left" w:pos="57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537B23BA" w14:textId="4C526B77" w:rsidR="00623D83" w:rsidRPr="00BD2AC4" w:rsidRDefault="00054CF4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54CF4">
              <w:rPr>
                <w:rFonts w:ascii="Calibri" w:hAnsi="Calibri" w:cs="Calibri"/>
                <w:sz w:val="24"/>
                <w:szCs w:val="24"/>
              </w:rPr>
              <w:t xml:space="preserve">Konflikt interesów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pomiędzy grantobiorcą a wykonawcą </w:t>
            </w:r>
            <w:r w:rsidRPr="00054CF4">
              <w:rPr>
                <w:rFonts w:ascii="Calibri" w:hAnsi="Calibri" w:cs="Calibri"/>
                <w:sz w:val="24"/>
                <w:szCs w:val="24"/>
              </w:rPr>
              <w:t>wpływający na</w:t>
            </w:r>
            <w:r w:rsidR="00096C96">
              <w:rPr>
                <w:rFonts w:ascii="Calibri" w:hAnsi="Calibri" w:cs="Calibri"/>
                <w:sz w:val="24"/>
                <w:szCs w:val="24"/>
              </w:rPr>
              <w:t> </w:t>
            </w:r>
            <w:r w:rsidRPr="00054CF4">
              <w:rPr>
                <w:rFonts w:ascii="Calibri" w:hAnsi="Calibri" w:cs="Calibri"/>
                <w:sz w:val="24"/>
                <w:szCs w:val="24"/>
              </w:rPr>
              <w:t>wynik postępowania</w:t>
            </w:r>
            <w:r w:rsidR="008337DA">
              <w:rPr>
                <w:rFonts w:ascii="Calibri" w:hAnsi="Calibri" w:cs="Calibri"/>
                <w:sz w:val="24"/>
                <w:szCs w:val="24"/>
              </w:rPr>
              <w:t xml:space="preserve"> i udzielenie zamówienia podmiotom powiązanym osobowo lub kapitałowo z grantobiorcą</w:t>
            </w:r>
            <w:r w:rsidRPr="00054CF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6167368" w14:textId="00C23B77" w:rsidR="00D56CE9" w:rsidRPr="00BD2AC4" w:rsidRDefault="00CE74D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 100%</w:t>
            </w:r>
          </w:p>
        </w:tc>
      </w:tr>
      <w:tr w:rsidR="00D56CE9" w:rsidRPr="00BD2AC4" w14:paraId="003D017E" w14:textId="1F35C9C7" w:rsidTr="7DE435D9">
        <w:trPr>
          <w:cantSplit/>
        </w:trPr>
        <w:tc>
          <w:tcPr>
            <w:tcW w:w="562" w:type="dxa"/>
          </w:tcPr>
          <w:p w14:paraId="7D246FC1" w14:textId="693EF39D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79E02A1C" w14:textId="3F6EF6AC" w:rsidR="00D56CE9" w:rsidRPr="00BD2AC4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Niedotrzymanie terminów określonych w postępowaniu o udzielenie zamówienia.</w:t>
            </w:r>
          </w:p>
        </w:tc>
        <w:tc>
          <w:tcPr>
            <w:tcW w:w="1714" w:type="dxa"/>
          </w:tcPr>
          <w:p w14:paraId="27BC5CB3" w14:textId="4FC03CDA" w:rsidR="00D56CE9" w:rsidRPr="00BD2AC4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5A3059">
              <w:rPr>
                <w:rFonts w:ascii="Calibri" w:hAnsi="Calibri" w:cs="Calibri"/>
                <w:sz w:val="24"/>
                <w:szCs w:val="24"/>
              </w:rPr>
              <w:t>2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</w:tr>
      <w:tr w:rsidR="00D56CE9" w:rsidRPr="00BD2AC4" w14:paraId="4767255C" w14:textId="7919C0CB" w:rsidTr="7DE435D9">
        <w:trPr>
          <w:cantSplit/>
        </w:trPr>
        <w:tc>
          <w:tcPr>
            <w:tcW w:w="562" w:type="dxa"/>
          </w:tcPr>
          <w:p w14:paraId="3140E2CD" w14:textId="1F21990D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2149AC8A" w14:textId="2BA6B667" w:rsidR="00D56CE9" w:rsidRPr="00BD2AC4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Przedmiot zamówienia nie został opisany w sposób jednoznaczny i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wyczerpujący, za pomocą dokładnych i zrozumiałych określeń, uwzględniających wszystkie wymagania i okoliczności mogące mieć wpływ na sporządzenie oferty</w:t>
            </w:r>
            <w:r w:rsidR="00BC2E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226CEA59" w14:textId="2A70D773" w:rsidR="00D56CE9" w:rsidRPr="00BD2AC4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do 10%</w:t>
            </w:r>
          </w:p>
        </w:tc>
      </w:tr>
      <w:tr w:rsidR="00D56CE9" w:rsidRPr="00BD2AC4" w14:paraId="55CB5C8F" w14:textId="4204EFB7" w:rsidTr="7DE435D9">
        <w:trPr>
          <w:cantSplit/>
        </w:trPr>
        <w:tc>
          <w:tcPr>
            <w:tcW w:w="562" w:type="dxa"/>
          </w:tcPr>
          <w:p w14:paraId="2A5706BD" w14:textId="4417EE2D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33"/>
                <w:tab w:val="left" w:pos="600"/>
              </w:tabs>
              <w:spacing w:after="120" w:line="276" w:lineRule="auto"/>
              <w:ind w:left="164" w:hanging="218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67AA5434" w14:textId="4570F154" w:rsidR="00D56CE9" w:rsidRPr="00BD2AC4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7DE435D9">
              <w:rPr>
                <w:rFonts w:ascii="Calibri" w:hAnsi="Calibri" w:cs="Calibri"/>
                <w:sz w:val="24"/>
                <w:szCs w:val="24"/>
              </w:rPr>
              <w:t>Kryteria oceny</w:t>
            </w:r>
            <w:r w:rsidR="00313DA1" w:rsidRPr="7DE435D9">
              <w:rPr>
                <w:rFonts w:ascii="Calibri" w:hAnsi="Calibri" w:cs="Calibri"/>
                <w:sz w:val="24"/>
                <w:szCs w:val="24"/>
              </w:rPr>
              <w:t xml:space="preserve"> ofert</w:t>
            </w:r>
            <w:r w:rsidR="00A169AB" w:rsidRPr="7DE435D9">
              <w:rPr>
                <w:rFonts w:ascii="Calibri" w:hAnsi="Calibri" w:cs="Calibri"/>
                <w:sz w:val="24"/>
                <w:szCs w:val="24"/>
              </w:rPr>
              <w:t xml:space="preserve"> lub w</w:t>
            </w:r>
            <w:r w:rsidR="00313DA1" w:rsidRPr="7DE435D9">
              <w:rPr>
                <w:rFonts w:ascii="Calibri" w:hAnsi="Calibri" w:cs="Calibri"/>
                <w:sz w:val="24"/>
                <w:szCs w:val="24"/>
              </w:rPr>
              <w:t xml:space="preserve">arunki udziału </w:t>
            </w:r>
            <w:r w:rsidRPr="7DE435D9">
              <w:rPr>
                <w:rFonts w:ascii="Calibri" w:hAnsi="Calibri" w:cs="Calibri"/>
                <w:sz w:val="24"/>
                <w:szCs w:val="24"/>
              </w:rPr>
              <w:t>utrudniają uczciwą konkurencję lub równe traktowanie wykonawców</w:t>
            </w:r>
            <w:r w:rsidR="00C86663" w:rsidRPr="7DE435D9">
              <w:rPr>
                <w:rFonts w:ascii="Calibri" w:hAnsi="Calibri" w:cs="Calibri"/>
                <w:sz w:val="24"/>
                <w:szCs w:val="24"/>
              </w:rPr>
              <w:t>, w tym np. nie są bezpośrednio związane z przedmiotem zamówienia</w:t>
            </w:r>
            <w:r w:rsidR="0A7C85FC" w:rsidRPr="7DE435D9">
              <w:rPr>
                <w:rFonts w:ascii="Calibri" w:hAnsi="Calibri" w:cs="Calibri"/>
                <w:sz w:val="24"/>
                <w:szCs w:val="24"/>
              </w:rPr>
              <w:t xml:space="preserve">, są dyskryminujące </w:t>
            </w:r>
            <w:r w:rsidR="519D145F" w:rsidRPr="5991E798">
              <w:rPr>
                <w:rFonts w:ascii="Calibri" w:hAnsi="Calibri" w:cs="Calibri"/>
                <w:sz w:val="24"/>
                <w:szCs w:val="24"/>
              </w:rPr>
              <w:t>czy</w:t>
            </w:r>
            <w:r w:rsidR="0A7C85FC" w:rsidRPr="7DE435D9">
              <w:rPr>
                <w:rFonts w:ascii="Calibri" w:hAnsi="Calibri" w:cs="Calibri"/>
                <w:sz w:val="24"/>
                <w:szCs w:val="24"/>
              </w:rPr>
              <w:t xml:space="preserve"> prowadzą do wyboru jednego konkretnego wykonawcy</w:t>
            </w:r>
            <w:r w:rsidR="00E626B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0C6D3D0A" w14:textId="12F25434" w:rsidR="00D56CE9" w:rsidRPr="00BD2AC4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937E82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 w:rsidRPr="00BD2AC4">
              <w:rPr>
                <w:rFonts w:ascii="Calibri" w:hAnsi="Calibri" w:cs="Calibri"/>
                <w:bCs/>
                <w:sz w:val="24"/>
                <w:szCs w:val="24"/>
              </w:rPr>
              <w:t>0%</w:t>
            </w:r>
          </w:p>
        </w:tc>
      </w:tr>
      <w:tr w:rsidR="00D56CE9" w:rsidRPr="00BD2AC4" w14:paraId="3CF6F7BA" w14:textId="408218AA" w:rsidTr="7DE435D9">
        <w:trPr>
          <w:cantSplit/>
        </w:trPr>
        <w:tc>
          <w:tcPr>
            <w:tcW w:w="562" w:type="dxa"/>
          </w:tcPr>
          <w:p w14:paraId="79F8C641" w14:textId="7054C0C8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57DA981C" w14:textId="698A7981" w:rsidR="00D56CE9" w:rsidRPr="00BD2AC4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Naruszenie w zakresie wyboru najkorzystniejszej oferty.</w:t>
            </w:r>
          </w:p>
        </w:tc>
        <w:tc>
          <w:tcPr>
            <w:tcW w:w="1714" w:type="dxa"/>
          </w:tcPr>
          <w:p w14:paraId="780A449B" w14:textId="44EDF446" w:rsidR="00D56CE9" w:rsidRPr="00BD2AC4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>
              <w:rPr>
                <w:rFonts w:ascii="Calibri" w:hAnsi="Calibri" w:cs="Calibri"/>
                <w:sz w:val="24"/>
                <w:szCs w:val="24"/>
              </w:rPr>
              <w:t>25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D56CE9" w:rsidRPr="00BD2AC4" w14:paraId="2B1E36B9" w14:textId="43866F83" w:rsidTr="7DE435D9">
        <w:trPr>
          <w:cantSplit/>
        </w:trPr>
        <w:tc>
          <w:tcPr>
            <w:tcW w:w="562" w:type="dxa"/>
          </w:tcPr>
          <w:p w14:paraId="5B8CDAE6" w14:textId="3A726172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45B68305" w14:textId="62BE3D3C" w:rsidR="00D56CE9" w:rsidRPr="00BD2AC4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Niedozwolona zmiana umowy z wykonawcą – dokonanie istotnej zmiany umowy w stosunku do treści oferty, na podstawie której dokonano wyboru wykonawcy, chyba, że możliwość i warunki dokonania takiej zmiany zostały przewidziane w</w:t>
            </w:r>
            <w:r w:rsidR="003F40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zapytaniu o udzielenie zamówienia.</w:t>
            </w:r>
          </w:p>
        </w:tc>
        <w:tc>
          <w:tcPr>
            <w:tcW w:w="1714" w:type="dxa"/>
          </w:tcPr>
          <w:p w14:paraId="05CD2C04" w14:textId="30C9CB29" w:rsidR="00D56CE9" w:rsidRPr="00BD2AC4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>do 25%</w:t>
            </w:r>
          </w:p>
        </w:tc>
      </w:tr>
      <w:tr w:rsidR="00D56CE9" w:rsidRPr="00BD2AC4" w14:paraId="301C78CE" w14:textId="5C30B4B4" w:rsidTr="7DE435D9">
        <w:trPr>
          <w:cantSplit/>
          <w:trHeight w:val="1052"/>
        </w:trPr>
        <w:tc>
          <w:tcPr>
            <w:tcW w:w="562" w:type="dxa"/>
          </w:tcPr>
          <w:p w14:paraId="4CA99F05" w14:textId="6AB78952" w:rsidR="00D56CE9" w:rsidRPr="00BD2AC4" w:rsidRDefault="00D56CE9" w:rsidP="005455E7">
            <w:pPr>
              <w:pStyle w:val="Akapitzlist"/>
              <w:numPr>
                <w:ilvl w:val="0"/>
                <w:numId w:val="12"/>
              </w:numPr>
              <w:tabs>
                <w:tab w:val="left" w:pos="164"/>
                <w:tab w:val="left" w:pos="600"/>
              </w:tabs>
              <w:spacing w:after="120" w:line="276" w:lineRule="auto"/>
              <w:ind w:left="306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14:paraId="22466BB8" w14:textId="60686513" w:rsidR="00D56CE9" w:rsidRPr="00BD2AC4" w:rsidRDefault="00D56CE9" w:rsidP="005455E7">
            <w:pPr>
              <w:snapToGrid w:val="0"/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 xml:space="preserve">Naruszenie w zakresie dokumentowania postępowania – dokumentowanie postępowania w sposób uniemożliwiający potwierdzenie przestrzegania przez 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rantobiorcę zasad udzielenia zamówienia.</w:t>
            </w:r>
          </w:p>
        </w:tc>
        <w:tc>
          <w:tcPr>
            <w:tcW w:w="1714" w:type="dxa"/>
          </w:tcPr>
          <w:p w14:paraId="029F30B6" w14:textId="75950FED" w:rsidR="00D56CE9" w:rsidRPr="00BD2AC4" w:rsidRDefault="00D56CE9" w:rsidP="005455E7">
            <w:pPr>
              <w:spacing w:after="120"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D2AC4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062D63">
              <w:rPr>
                <w:rFonts w:ascii="Calibri" w:hAnsi="Calibri" w:cs="Calibri"/>
                <w:sz w:val="24"/>
                <w:szCs w:val="24"/>
              </w:rPr>
              <w:t>5</w:t>
            </w:r>
            <w:r w:rsidR="0069714D">
              <w:rPr>
                <w:rFonts w:ascii="Calibri" w:hAnsi="Calibri" w:cs="Calibri"/>
                <w:sz w:val="24"/>
                <w:szCs w:val="24"/>
              </w:rPr>
              <w:t>0</w:t>
            </w:r>
            <w:r w:rsidRPr="00BD2AC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3207DF95" w14:textId="06657940" w:rsidR="00CF5E23" w:rsidRDefault="00CF5E23" w:rsidP="00886FBD">
      <w:pPr>
        <w:pStyle w:val="Nagwek2"/>
        <w:keepNext/>
        <w:contextualSpacing w:val="0"/>
      </w:pPr>
      <w:r>
        <w:lastRenderedPageBreak/>
        <w:t>Treść z nagłówka</w:t>
      </w:r>
    </w:p>
    <w:p w14:paraId="4287CD5D" w14:textId="1C2F2DDF" w:rsidR="00B3485B" w:rsidRPr="00806B73" w:rsidRDefault="00CF5E23" w:rsidP="00447B2C">
      <w:pPr>
        <w:rPr>
          <w:rFonts w:ascii="Calibri" w:hAnsi="Calibri" w:cs="Calibri"/>
          <w:color w:val="000000" w:themeColor="text1"/>
          <w:sz w:val="24"/>
          <w:szCs w:val="24"/>
        </w:rPr>
      </w:pPr>
      <w:r w:rsidRPr="230562C4">
        <w:rPr>
          <w:rFonts w:ascii="Calibri" w:hAnsi="Calibri" w:cs="Calibri"/>
          <w:color w:val="000000" w:themeColor="text1"/>
          <w:sz w:val="24"/>
          <w:szCs w:val="24"/>
        </w:rPr>
        <w:t xml:space="preserve">Zestaw logotypów: </w:t>
      </w:r>
      <w:r w:rsidR="00806B73" w:rsidRPr="00806B73">
        <w:rPr>
          <w:rFonts w:ascii="Calibri" w:hAnsi="Calibri" w:cs="Calibri"/>
          <w:color w:val="000000" w:themeColor="text1"/>
          <w:sz w:val="24"/>
          <w:szCs w:val="24"/>
        </w:rPr>
        <w:t>symbol graficzny Funduszy Europejskich z napisem Fundusze Europejskie dla</w:t>
      </w:r>
      <w:r w:rsidR="00096C96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06B73" w:rsidRPr="00806B73">
        <w:rPr>
          <w:rFonts w:ascii="Calibri" w:hAnsi="Calibri" w:cs="Calibri"/>
          <w:color w:val="000000" w:themeColor="text1"/>
          <w:sz w:val="24"/>
          <w:szCs w:val="24"/>
        </w:rPr>
        <w:t>Rozwoju Spo</w:t>
      </w:r>
      <w:r w:rsidR="00806B73" w:rsidRPr="00806B73">
        <w:rPr>
          <w:rFonts w:ascii="Calibri" w:hAnsi="Calibri" w:cs="Calibri" w:hint="cs"/>
          <w:color w:val="000000" w:themeColor="text1"/>
          <w:sz w:val="24"/>
          <w:szCs w:val="24"/>
        </w:rPr>
        <w:t>ł</w:t>
      </w:r>
      <w:r w:rsidR="00806B73" w:rsidRPr="00806B73">
        <w:rPr>
          <w:rFonts w:ascii="Calibri" w:hAnsi="Calibri" w:cs="Calibri"/>
          <w:color w:val="000000" w:themeColor="text1"/>
          <w:sz w:val="24"/>
          <w:szCs w:val="24"/>
        </w:rPr>
        <w:t>ecznego; flaga Polski z napisem Rzeczpospolita Polska; flaga Unii Europejskiej z</w:t>
      </w:r>
      <w:r w:rsidR="005455E7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06B73" w:rsidRPr="00806B73">
        <w:rPr>
          <w:rFonts w:ascii="Calibri" w:hAnsi="Calibri" w:cs="Calibri"/>
          <w:color w:val="000000" w:themeColor="text1"/>
          <w:sz w:val="24"/>
          <w:szCs w:val="24"/>
        </w:rPr>
        <w:t>napisem Dofinansowane przez Uni</w:t>
      </w:r>
      <w:r w:rsidR="00806B73" w:rsidRPr="00806B73">
        <w:rPr>
          <w:rFonts w:ascii="Calibri" w:hAnsi="Calibri" w:cs="Calibri" w:hint="cs"/>
          <w:color w:val="000000" w:themeColor="text1"/>
          <w:sz w:val="24"/>
          <w:szCs w:val="24"/>
        </w:rPr>
        <w:t>ę</w:t>
      </w:r>
      <w:r w:rsidR="00806B73" w:rsidRPr="00806B73">
        <w:rPr>
          <w:rFonts w:ascii="Calibri" w:hAnsi="Calibri" w:cs="Calibri"/>
          <w:color w:val="000000" w:themeColor="text1"/>
          <w:sz w:val="24"/>
          <w:szCs w:val="24"/>
        </w:rPr>
        <w:t xml:space="preserve"> Europejsk</w:t>
      </w:r>
      <w:r w:rsidR="00806B73" w:rsidRPr="00806B73">
        <w:rPr>
          <w:rFonts w:ascii="Calibri" w:hAnsi="Calibri" w:cs="Calibri" w:hint="cs"/>
          <w:color w:val="000000" w:themeColor="text1"/>
          <w:sz w:val="24"/>
          <w:szCs w:val="24"/>
        </w:rPr>
        <w:t>ą</w:t>
      </w:r>
      <w:r w:rsidR="003A1A12" w:rsidRPr="230562C4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B3485B" w:rsidRPr="00806B73" w:rsidSect="00235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418" w:left="1134" w:header="42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77F2" w14:textId="77777777" w:rsidR="00512C0F" w:rsidRDefault="00512C0F">
      <w:pPr>
        <w:spacing w:before="0" w:after="0" w:line="240" w:lineRule="auto"/>
      </w:pPr>
      <w:r>
        <w:separator/>
      </w:r>
    </w:p>
  </w:endnote>
  <w:endnote w:type="continuationSeparator" w:id="0">
    <w:p w14:paraId="68B62F00" w14:textId="77777777" w:rsidR="00512C0F" w:rsidRDefault="00512C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FB6E" w14:textId="77777777" w:rsidR="00806B73" w:rsidRDefault="00806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28277"/>
      <w:docPartObj>
        <w:docPartGallery w:val="Page Numbers (Bottom of Page)"/>
        <w:docPartUnique/>
      </w:docPartObj>
    </w:sdtPr>
    <w:sdtContent>
      <w:p w14:paraId="04E5E38E" w14:textId="76A93E7D" w:rsidR="0034359F" w:rsidRDefault="00343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8DC" w14:textId="6A897F07" w:rsidR="00E82271" w:rsidRPr="00E82271" w:rsidRDefault="00E82271" w:rsidP="00447B2C">
    <w:pPr>
      <w:pStyle w:val="Stopka"/>
      <w:tabs>
        <w:tab w:val="clear" w:pos="4536"/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E19A" w14:textId="77777777" w:rsidR="00512C0F" w:rsidRDefault="00512C0F">
      <w:pPr>
        <w:spacing w:before="0" w:after="0" w:line="240" w:lineRule="auto"/>
      </w:pPr>
      <w:r>
        <w:separator/>
      </w:r>
    </w:p>
  </w:footnote>
  <w:footnote w:type="continuationSeparator" w:id="0">
    <w:p w14:paraId="2DEB9909" w14:textId="77777777" w:rsidR="00512C0F" w:rsidRDefault="00512C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5610" w14:textId="77777777" w:rsidR="005B2EBA" w:rsidRDefault="00000000">
    <w:pPr>
      <w:pStyle w:val="Nagwek"/>
    </w:pPr>
    <w:r>
      <w:rPr>
        <w:noProof/>
      </w:rPr>
      <w:pict w14:anchorId="45326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59673" o:spid="_x0000_s1035" type="#_x0000_t75" style="position:absolute;margin-left:0;margin-top:0;width:481.5pt;height:701.15pt;z-index:-251658752;mso-position-horizontal:center;mso-position-horizontal-relative:margin;mso-position-vertical:center;mso-position-vertical-relative:margin" o:allowincell="f">
          <v:imagedata r:id="rId1" o:title="PAPIER FIRMOWY PL nowe logo m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E717" w14:textId="2E970C09" w:rsidR="003A1C5B" w:rsidRDefault="003A1C5B" w:rsidP="009F064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C8A" w14:textId="179991F6" w:rsidR="005266F8" w:rsidRDefault="005266F8">
    <w:pPr>
      <w:pStyle w:val="Nagwek"/>
    </w:pPr>
    <w:r w:rsidRPr="007B5DD6">
      <w:rPr>
        <w:noProof/>
      </w:rPr>
      <w:drawing>
        <wp:inline distT="0" distB="0" distL="0" distR="0" wp14:anchorId="79814269" wp14:editId="6EDDB140">
          <wp:extent cx="5757545" cy="787400"/>
          <wp:effectExtent l="0" t="0" r="0" b="0"/>
          <wp:docPr id="1722500040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1" w15:restartNumberingAfterBreak="0">
    <w:nsid w:val="1E391F2C"/>
    <w:multiLevelType w:val="hybridMultilevel"/>
    <w:tmpl w:val="2D86EC2C"/>
    <w:lvl w:ilvl="0" w:tplc="0415000F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A51CD"/>
    <w:multiLevelType w:val="hybridMultilevel"/>
    <w:tmpl w:val="F9F005C8"/>
    <w:lvl w:ilvl="0" w:tplc="E13675BA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32C78"/>
    <w:multiLevelType w:val="hybridMultilevel"/>
    <w:tmpl w:val="F698B010"/>
    <w:lvl w:ilvl="0" w:tplc="C0983B44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1C86"/>
    <w:multiLevelType w:val="hybridMultilevel"/>
    <w:tmpl w:val="2DAC93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06ACC"/>
    <w:multiLevelType w:val="hybridMultilevel"/>
    <w:tmpl w:val="B4DE2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9A1"/>
    <w:multiLevelType w:val="hybridMultilevel"/>
    <w:tmpl w:val="A3022A3A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5E0"/>
    <w:multiLevelType w:val="hybridMultilevel"/>
    <w:tmpl w:val="9E42E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9A74B4"/>
    <w:multiLevelType w:val="hybridMultilevel"/>
    <w:tmpl w:val="BD805E80"/>
    <w:lvl w:ilvl="0" w:tplc="6D4215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6142">
    <w:abstractNumId w:val="2"/>
  </w:num>
  <w:num w:numId="2" w16cid:durableId="1018888790">
    <w:abstractNumId w:val="7"/>
  </w:num>
  <w:num w:numId="3" w16cid:durableId="532815330">
    <w:abstractNumId w:val="9"/>
  </w:num>
  <w:num w:numId="4" w16cid:durableId="1627541959">
    <w:abstractNumId w:val="4"/>
  </w:num>
  <w:num w:numId="5" w16cid:durableId="2138527911">
    <w:abstractNumId w:val="1"/>
  </w:num>
  <w:num w:numId="6" w16cid:durableId="26150032">
    <w:abstractNumId w:val="10"/>
  </w:num>
  <w:num w:numId="7" w16cid:durableId="1861092014">
    <w:abstractNumId w:val="8"/>
  </w:num>
  <w:num w:numId="8" w16cid:durableId="2143185022">
    <w:abstractNumId w:val="3"/>
  </w:num>
  <w:num w:numId="9" w16cid:durableId="127742418">
    <w:abstractNumId w:val="11"/>
  </w:num>
  <w:num w:numId="10" w16cid:durableId="1691443346">
    <w:abstractNumId w:val="5"/>
  </w:num>
  <w:num w:numId="11" w16cid:durableId="896207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092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5B"/>
    <w:rsid w:val="00005A25"/>
    <w:rsid w:val="00020713"/>
    <w:rsid w:val="000307D8"/>
    <w:rsid w:val="00037DAA"/>
    <w:rsid w:val="000418EB"/>
    <w:rsid w:val="00041FE9"/>
    <w:rsid w:val="00042279"/>
    <w:rsid w:val="00044DB9"/>
    <w:rsid w:val="00054CF4"/>
    <w:rsid w:val="00062D63"/>
    <w:rsid w:val="00066253"/>
    <w:rsid w:val="000856C2"/>
    <w:rsid w:val="00085909"/>
    <w:rsid w:val="0008769D"/>
    <w:rsid w:val="00096C96"/>
    <w:rsid w:val="000B49D8"/>
    <w:rsid w:val="000C59FA"/>
    <w:rsid w:val="0010130E"/>
    <w:rsid w:val="00110FED"/>
    <w:rsid w:val="00112340"/>
    <w:rsid w:val="00115F0B"/>
    <w:rsid w:val="00123290"/>
    <w:rsid w:val="00127AA1"/>
    <w:rsid w:val="001879CA"/>
    <w:rsid w:val="001A0280"/>
    <w:rsid w:val="001A5C7F"/>
    <w:rsid w:val="001B0768"/>
    <w:rsid w:val="001E53E3"/>
    <w:rsid w:val="0022785C"/>
    <w:rsid w:val="00235563"/>
    <w:rsid w:val="00242E0F"/>
    <w:rsid w:val="0025419C"/>
    <w:rsid w:val="002675EE"/>
    <w:rsid w:val="00291653"/>
    <w:rsid w:val="002B1C6D"/>
    <w:rsid w:val="002B2DB0"/>
    <w:rsid w:val="002D16A6"/>
    <w:rsid w:val="002F798B"/>
    <w:rsid w:val="00310AD1"/>
    <w:rsid w:val="00313DA1"/>
    <w:rsid w:val="00314CA6"/>
    <w:rsid w:val="00317636"/>
    <w:rsid w:val="00325522"/>
    <w:rsid w:val="00332544"/>
    <w:rsid w:val="00336A7C"/>
    <w:rsid w:val="0034359F"/>
    <w:rsid w:val="00344CC4"/>
    <w:rsid w:val="00344FAA"/>
    <w:rsid w:val="00350862"/>
    <w:rsid w:val="00352E42"/>
    <w:rsid w:val="00356ECD"/>
    <w:rsid w:val="00357F38"/>
    <w:rsid w:val="00372EFB"/>
    <w:rsid w:val="00380C7D"/>
    <w:rsid w:val="00380CE4"/>
    <w:rsid w:val="00390A3B"/>
    <w:rsid w:val="00390C3D"/>
    <w:rsid w:val="003A1A12"/>
    <w:rsid w:val="003A1C5B"/>
    <w:rsid w:val="003D1876"/>
    <w:rsid w:val="003E0764"/>
    <w:rsid w:val="003F405F"/>
    <w:rsid w:val="00403F56"/>
    <w:rsid w:val="004219F1"/>
    <w:rsid w:val="00442FF0"/>
    <w:rsid w:val="004462F0"/>
    <w:rsid w:val="00447B2C"/>
    <w:rsid w:val="00452CDD"/>
    <w:rsid w:val="00457ED8"/>
    <w:rsid w:val="00473546"/>
    <w:rsid w:val="00473ED9"/>
    <w:rsid w:val="004A17AB"/>
    <w:rsid w:val="004A5ED0"/>
    <w:rsid w:val="004A7B8B"/>
    <w:rsid w:val="004C183B"/>
    <w:rsid w:val="004D0220"/>
    <w:rsid w:val="004F5040"/>
    <w:rsid w:val="00502457"/>
    <w:rsid w:val="00504990"/>
    <w:rsid w:val="005063D2"/>
    <w:rsid w:val="00506F5F"/>
    <w:rsid w:val="00512C0F"/>
    <w:rsid w:val="005246B4"/>
    <w:rsid w:val="005266F8"/>
    <w:rsid w:val="0054202A"/>
    <w:rsid w:val="005455E7"/>
    <w:rsid w:val="00555175"/>
    <w:rsid w:val="00577E48"/>
    <w:rsid w:val="00592B34"/>
    <w:rsid w:val="00594F40"/>
    <w:rsid w:val="005A3059"/>
    <w:rsid w:val="005B22A4"/>
    <w:rsid w:val="005B2EBA"/>
    <w:rsid w:val="005B33BA"/>
    <w:rsid w:val="005D5AAC"/>
    <w:rsid w:val="005E696F"/>
    <w:rsid w:val="005F4693"/>
    <w:rsid w:val="00613878"/>
    <w:rsid w:val="00623D83"/>
    <w:rsid w:val="00631EFA"/>
    <w:rsid w:val="0065009D"/>
    <w:rsid w:val="006564EC"/>
    <w:rsid w:val="00656A94"/>
    <w:rsid w:val="00662FBD"/>
    <w:rsid w:val="00684DDE"/>
    <w:rsid w:val="006900CB"/>
    <w:rsid w:val="0069714D"/>
    <w:rsid w:val="006A23A3"/>
    <w:rsid w:val="006F0154"/>
    <w:rsid w:val="006F3886"/>
    <w:rsid w:val="006F5C32"/>
    <w:rsid w:val="007001CC"/>
    <w:rsid w:val="00704246"/>
    <w:rsid w:val="00705D95"/>
    <w:rsid w:val="00706953"/>
    <w:rsid w:val="00715C35"/>
    <w:rsid w:val="00722F32"/>
    <w:rsid w:val="00732FCC"/>
    <w:rsid w:val="007538E5"/>
    <w:rsid w:val="00766B67"/>
    <w:rsid w:val="00767DFB"/>
    <w:rsid w:val="00774335"/>
    <w:rsid w:val="00786225"/>
    <w:rsid w:val="007952F9"/>
    <w:rsid w:val="007970C7"/>
    <w:rsid w:val="007A7127"/>
    <w:rsid w:val="007D00BD"/>
    <w:rsid w:val="00800724"/>
    <w:rsid w:val="00806B73"/>
    <w:rsid w:val="00820118"/>
    <w:rsid w:val="0082071C"/>
    <w:rsid w:val="00822E54"/>
    <w:rsid w:val="00826B08"/>
    <w:rsid w:val="008337DA"/>
    <w:rsid w:val="00835595"/>
    <w:rsid w:val="008539F3"/>
    <w:rsid w:val="008656AF"/>
    <w:rsid w:val="00865717"/>
    <w:rsid w:val="008660BA"/>
    <w:rsid w:val="00866DF4"/>
    <w:rsid w:val="00886FBD"/>
    <w:rsid w:val="008A1DEF"/>
    <w:rsid w:val="008B6EC4"/>
    <w:rsid w:val="008C7383"/>
    <w:rsid w:val="008D0A3D"/>
    <w:rsid w:val="008D373F"/>
    <w:rsid w:val="008D7604"/>
    <w:rsid w:val="008E49AE"/>
    <w:rsid w:val="008E5CE3"/>
    <w:rsid w:val="008F0C53"/>
    <w:rsid w:val="0090323D"/>
    <w:rsid w:val="0090392F"/>
    <w:rsid w:val="00904D5B"/>
    <w:rsid w:val="00922153"/>
    <w:rsid w:val="00934D30"/>
    <w:rsid w:val="00937E82"/>
    <w:rsid w:val="00946A5B"/>
    <w:rsid w:val="00965AAF"/>
    <w:rsid w:val="009763BD"/>
    <w:rsid w:val="00983EBC"/>
    <w:rsid w:val="009859C3"/>
    <w:rsid w:val="009B7642"/>
    <w:rsid w:val="009C15F7"/>
    <w:rsid w:val="009C72D5"/>
    <w:rsid w:val="009D10D0"/>
    <w:rsid w:val="009D35F8"/>
    <w:rsid w:val="009E5283"/>
    <w:rsid w:val="009F0649"/>
    <w:rsid w:val="009F2FE1"/>
    <w:rsid w:val="00A0290E"/>
    <w:rsid w:val="00A03EAE"/>
    <w:rsid w:val="00A06476"/>
    <w:rsid w:val="00A12329"/>
    <w:rsid w:val="00A169AB"/>
    <w:rsid w:val="00A24447"/>
    <w:rsid w:val="00A27468"/>
    <w:rsid w:val="00A409EB"/>
    <w:rsid w:val="00A445C2"/>
    <w:rsid w:val="00A57B65"/>
    <w:rsid w:val="00A615EF"/>
    <w:rsid w:val="00A61E4D"/>
    <w:rsid w:val="00A6777B"/>
    <w:rsid w:val="00A74958"/>
    <w:rsid w:val="00A7571C"/>
    <w:rsid w:val="00A77927"/>
    <w:rsid w:val="00A832CE"/>
    <w:rsid w:val="00A87558"/>
    <w:rsid w:val="00AB3301"/>
    <w:rsid w:val="00AE1C14"/>
    <w:rsid w:val="00AF1B0D"/>
    <w:rsid w:val="00B03DDC"/>
    <w:rsid w:val="00B072B4"/>
    <w:rsid w:val="00B104AC"/>
    <w:rsid w:val="00B10D02"/>
    <w:rsid w:val="00B24F38"/>
    <w:rsid w:val="00B300C7"/>
    <w:rsid w:val="00B3485B"/>
    <w:rsid w:val="00B35110"/>
    <w:rsid w:val="00B357E1"/>
    <w:rsid w:val="00B6083D"/>
    <w:rsid w:val="00B61C91"/>
    <w:rsid w:val="00B71222"/>
    <w:rsid w:val="00B81BA1"/>
    <w:rsid w:val="00B824E5"/>
    <w:rsid w:val="00B96B4E"/>
    <w:rsid w:val="00B96C7D"/>
    <w:rsid w:val="00BA1C08"/>
    <w:rsid w:val="00BA668C"/>
    <w:rsid w:val="00BB54F8"/>
    <w:rsid w:val="00BC1D1F"/>
    <w:rsid w:val="00BC2EB4"/>
    <w:rsid w:val="00BD2AC4"/>
    <w:rsid w:val="00BF2741"/>
    <w:rsid w:val="00C0068F"/>
    <w:rsid w:val="00C03DDB"/>
    <w:rsid w:val="00C15EE0"/>
    <w:rsid w:val="00C20710"/>
    <w:rsid w:val="00C2142C"/>
    <w:rsid w:val="00C31936"/>
    <w:rsid w:val="00C33E97"/>
    <w:rsid w:val="00C428FB"/>
    <w:rsid w:val="00C46F06"/>
    <w:rsid w:val="00C724E3"/>
    <w:rsid w:val="00C74222"/>
    <w:rsid w:val="00C86663"/>
    <w:rsid w:val="00C94B43"/>
    <w:rsid w:val="00C96C94"/>
    <w:rsid w:val="00CB29CA"/>
    <w:rsid w:val="00CB7BEB"/>
    <w:rsid w:val="00CC02FE"/>
    <w:rsid w:val="00CC1ED9"/>
    <w:rsid w:val="00CC3300"/>
    <w:rsid w:val="00CC4750"/>
    <w:rsid w:val="00CD63FA"/>
    <w:rsid w:val="00CE29ED"/>
    <w:rsid w:val="00CE49C8"/>
    <w:rsid w:val="00CE65CB"/>
    <w:rsid w:val="00CE74D9"/>
    <w:rsid w:val="00CF5E23"/>
    <w:rsid w:val="00D37BE3"/>
    <w:rsid w:val="00D4654E"/>
    <w:rsid w:val="00D478C6"/>
    <w:rsid w:val="00D5066C"/>
    <w:rsid w:val="00D514CC"/>
    <w:rsid w:val="00D56CE9"/>
    <w:rsid w:val="00D855C6"/>
    <w:rsid w:val="00DA688A"/>
    <w:rsid w:val="00DA6C8B"/>
    <w:rsid w:val="00DC34B5"/>
    <w:rsid w:val="00DD61B0"/>
    <w:rsid w:val="00DD7714"/>
    <w:rsid w:val="00DE39B8"/>
    <w:rsid w:val="00DE53B0"/>
    <w:rsid w:val="00E11253"/>
    <w:rsid w:val="00E305DC"/>
    <w:rsid w:val="00E4333E"/>
    <w:rsid w:val="00E526B9"/>
    <w:rsid w:val="00E5480A"/>
    <w:rsid w:val="00E60E6D"/>
    <w:rsid w:val="00E626B6"/>
    <w:rsid w:val="00E7507F"/>
    <w:rsid w:val="00E77C09"/>
    <w:rsid w:val="00E80881"/>
    <w:rsid w:val="00E81BA5"/>
    <w:rsid w:val="00E82271"/>
    <w:rsid w:val="00E92014"/>
    <w:rsid w:val="00E95C0A"/>
    <w:rsid w:val="00EC3B6B"/>
    <w:rsid w:val="00EC706F"/>
    <w:rsid w:val="00EE6DB4"/>
    <w:rsid w:val="00EF135A"/>
    <w:rsid w:val="00F170EF"/>
    <w:rsid w:val="00F51EF5"/>
    <w:rsid w:val="00F73ED6"/>
    <w:rsid w:val="00F75273"/>
    <w:rsid w:val="00F81AE9"/>
    <w:rsid w:val="00F854EC"/>
    <w:rsid w:val="00FA2844"/>
    <w:rsid w:val="00FA44D9"/>
    <w:rsid w:val="00FB0259"/>
    <w:rsid w:val="00FC1A36"/>
    <w:rsid w:val="00FD02BF"/>
    <w:rsid w:val="00FD6E53"/>
    <w:rsid w:val="0A7C85FC"/>
    <w:rsid w:val="1FE3D9FE"/>
    <w:rsid w:val="230562C4"/>
    <w:rsid w:val="2CBFE841"/>
    <w:rsid w:val="519D145F"/>
    <w:rsid w:val="5991E798"/>
    <w:rsid w:val="64D92F8F"/>
    <w:rsid w:val="7DE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6E92"/>
  <w15:docId w15:val="{C8926775-19AC-4685-A50B-6348F18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EE"/>
  </w:style>
  <w:style w:type="paragraph" w:styleId="Nagwek1">
    <w:name w:val="heading 1"/>
    <w:basedOn w:val="Normalny"/>
    <w:next w:val="Normalny"/>
    <w:link w:val="Nagwek1Znak"/>
    <w:uiPriority w:val="9"/>
    <w:qFormat/>
    <w:rsid w:val="005266F8"/>
    <w:pPr>
      <w:snapToGrid w:val="0"/>
      <w:spacing w:before="360" w:after="120"/>
      <w:jc w:val="center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485B"/>
    <w:pPr>
      <w:snapToGrid w:val="0"/>
      <w:spacing w:before="240" w:after="120"/>
      <w:contextualSpacing/>
      <w:outlineLvl w:val="1"/>
    </w:pPr>
    <w:rPr>
      <w:rFonts w:ascii="Calibri" w:hAnsi="Calibri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2271"/>
    <w:pPr>
      <w:spacing w:before="0" w:after="0"/>
      <w:outlineLvl w:val="2"/>
    </w:pPr>
    <w:rPr>
      <w:rFonts w:ascii="Calibri" w:hAnsi="Calibr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5EE"/>
    <w:pPr>
      <w:pBdr>
        <w:top w:val="dotted" w:sz="6" w:space="2" w:color="00A2FF" w:themeColor="accent1"/>
      </w:pBdr>
      <w:spacing w:before="200" w:after="0"/>
      <w:outlineLvl w:val="3"/>
    </w:pPr>
    <w:rPr>
      <w:caps/>
      <w:color w:val="0079BF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5EE"/>
    <w:pPr>
      <w:pBdr>
        <w:bottom w:val="single" w:sz="6" w:space="1" w:color="00A2FF" w:themeColor="accent1"/>
      </w:pBdr>
      <w:spacing w:before="200" w:after="0"/>
      <w:outlineLvl w:val="4"/>
    </w:pPr>
    <w:rPr>
      <w:caps/>
      <w:color w:val="0079BF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5EE"/>
    <w:pPr>
      <w:pBdr>
        <w:bottom w:val="dotted" w:sz="6" w:space="1" w:color="00A2FF" w:themeColor="accent1"/>
      </w:pBdr>
      <w:spacing w:before="200" w:after="0"/>
      <w:outlineLvl w:val="5"/>
    </w:pPr>
    <w:rPr>
      <w:caps/>
      <w:color w:val="0079BF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5EE"/>
    <w:pPr>
      <w:spacing w:before="200" w:after="0"/>
      <w:outlineLvl w:val="6"/>
    </w:pPr>
    <w:rPr>
      <w:caps/>
      <w:color w:val="0079BF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5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5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DEF"/>
    <w:rPr>
      <w:u w:val="single"/>
    </w:rPr>
  </w:style>
  <w:style w:type="table" w:customStyle="1" w:styleId="TableNormal">
    <w:name w:val="Table Normal"/>
    <w:rsid w:val="008A1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8A1DEF"/>
    <w:pPr>
      <w:spacing w:before="0"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266F8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3485B"/>
    <w:rPr>
      <w:rFonts w:ascii="Calibri" w:hAnsi="Calibri"/>
      <w:b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2271"/>
    <w:rPr>
      <w:rFonts w:ascii="Calibri" w:hAnsi="Calibri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5E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5E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75EE"/>
    <w:rPr>
      <w:b/>
      <w:bCs/>
      <w:color w:val="0079BF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675EE"/>
    <w:pPr>
      <w:spacing w:before="0" w:after="0"/>
    </w:pPr>
    <w:rPr>
      <w:rFonts w:asciiTheme="majorHAnsi" w:eastAsiaTheme="majorEastAsia" w:hAnsiTheme="majorHAnsi" w:cstheme="majorBidi"/>
      <w:caps/>
      <w:color w:val="00A2FF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75EE"/>
    <w:rPr>
      <w:rFonts w:asciiTheme="majorHAnsi" w:eastAsiaTheme="majorEastAsia" w:hAnsiTheme="majorHAnsi" w:cstheme="majorBidi"/>
      <w:caps/>
      <w:color w:val="00A2FF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5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675E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675EE"/>
    <w:rPr>
      <w:b/>
      <w:bCs/>
    </w:rPr>
  </w:style>
  <w:style w:type="character" w:styleId="Uwydatnienie">
    <w:name w:val="Emphasis"/>
    <w:uiPriority w:val="20"/>
    <w:qFormat/>
    <w:rsid w:val="002675EE"/>
    <w:rPr>
      <w:caps/>
      <w:color w:val="00507F" w:themeColor="accent1" w:themeShade="7F"/>
      <w:spacing w:val="5"/>
    </w:rPr>
  </w:style>
  <w:style w:type="paragraph" w:styleId="Bezodstpw">
    <w:name w:val="No Spacing"/>
    <w:uiPriority w:val="1"/>
    <w:qFormat/>
    <w:rsid w:val="002675E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675E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675E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5EE"/>
    <w:pPr>
      <w:spacing w:before="240" w:after="240" w:line="240" w:lineRule="auto"/>
      <w:ind w:left="1080" w:right="1080"/>
      <w:jc w:val="center"/>
    </w:pPr>
    <w:rPr>
      <w:color w:val="00A2FF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5EE"/>
    <w:rPr>
      <w:color w:val="00A2FF" w:themeColor="accent1"/>
      <w:sz w:val="24"/>
      <w:szCs w:val="24"/>
    </w:rPr>
  </w:style>
  <w:style w:type="character" w:styleId="Wyrnieniedelikatne">
    <w:name w:val="Subtle Emphasis"/>
    <w:uiPriority w:val="19"/>
    <w:qFormat/>
    <w:rsid w:val="002675EE"/>
    <w:rPr>
      <w:i/>
      <w:iCs/>
      <w:color w:val="00507F" w:themeColor="accent1" w:themeShade="7F"/>
    </w:rPr>
  </w:style>
  <w:style w:type="character" w:styleId="Wyrnienieintensywne">
    <w:name w:val="Intense Emphasis"/>
    <w:uiPriority w:val="21"/>
    <w:qFormat/>
    <w:rsid w:val="002675EE"/>
    <w:rPr>
      <w:b/>
      <w:bCs/>
      <w:caps/>
      <w:color w:val="00507F" w:themeColor="accent1" w:themeShade="7F"/>
      <w:spacing w:val="10"/>
    </w:rPr>
  </w:style>
  <w:style w:type="character" w:styleId="Odwoaniedelikatne">
    <w:name w:val="Subtle Reference"/>
    <w:uiPriority w:val="31"/>
    <w:qFormat/>
    <w:rsid w:val="002675EE"/>
    <w:rPr>
      <w:b/>
      <w:bCs/>
      <w:color w:val="00A2FF" w:themeColor="accent1"/>
    </w:rPr>
  </w:style>
  <w:style w:type="character" w:styleId="Odwoanieintensywne">
    <w:name w:val="Intense Reference"/>
    <w:uiPriority w:val="32"/>
    <w:qFormat/>
    <w:rsid w:val="002675EE"/>
    <w:rPr>
      <w:b/>
      <w:bCs/>
      <w:i/>
      <w:iCs/>
      <w:caps/>
      <w:color w:val="00A2FF" w:themeColor="accent1"/>
    </w:rPr>
  </w:style>
  <w:style w:type="character" w:styleId="Tytuksiki">
    <w:name w:val="Book Title"/>
    <w:uiPriority w:val="33"/>
    <w:qFormat/>
    <w:rsid w:val="002675E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75E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67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EE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267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2675EE"/>
  </w:style>
  <w:style w:type="paragraph" w:styleId="Tekstpodstawowy">
    <w:name w:val="Body Text"/>
    <w:basedOn w:val="Normalny"/>
    <w:link w:val="TekstpodstawowyZnak"/>
    <w:rsid w:val="00B24F38"/>
    <w:pPr>
      <w:spacing w:before="0" w:after="140"/>
    </w:pPr>
    <w:rPr>
      <w:rFonts w:eastAsiaTheme="minorHAns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24F38"/>
    <w:rPr>
      <w:rFonts w:eastAsiaTheme="minorHAns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3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30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Akapit z listą (numerowanie)"/>
    <w:basedOn w:val="Normalny"/>
    <w:link w:val="AkapitzlistZnak"/>
    <w:uiPriority w:val="34"/>
    <w:qFormat/>
    <w:rsid w:val="00AB3301"/>
    <w:pPr>
      <w:spacing w:before="0"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301"/>
    <w:pPr>
      <w:spacing w:before="0" w:after="160" w:line="240" w:lineRule="auto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301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AB3301"/>
    <w:pPr>
      <w:spacing w:before="0"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Akapit z listą (numerowanie) Znak"/>
    <w:link w:val="Akapitzlist"/>
    <w:uiPriority w:val="34"/>
    <w:qFormat/>
    <w:locked/>
    <w:rsid w:val="00AB3301"/>
    <w:rPr>
      <w:rFonts w:eastAsiaTheme="minorHAns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E0F"/>
    <w:pPr>
      <w:spacing w:before="100"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E0F"/>
    <w:rPr>
      <w:rFonts w:eastAsiaTheme="minorHAns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D9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D95"/>
  </w:style>
  <w:style w:type="character" w:styleId="Odwoanieprzypisudolnego">
    <w:name w:val="footnote reference"/>
    <w:basedOn w:val="Domylnaczcionkaakapitu"/>
    <w:uiPriority w:val="99"/>
    <w:semiHidden/>
    <w:unhideWhenUsed/>
    <w:rsid w:val="00705D95"/>
    <w:rPr>
      <w:vertAlign w:val="superscript"/>
    </w:rPr>
  </w:style>
  <w:style w:type="paragraph" w:customStyle="1" w:styleId="Styl8">
    <w:name w:val="Styl8"/>
    <w:basedOn w:val="Normalny"/>
    <w:rsid w:val="00B3485B"/>
    <w:pPr>
      <w:keepNext/>
      <w:keepLines/>
      <w:numPr>
        <w:numId w:val="11"/>
      </w:numPr>
      <w:snapToGrid w:val="0"/>
      <w:spacing w:before="240" w:after="240"/>
      <w:ind w:left="7023"/>
      <w:outlineLvl w:val="1"/>
    </w:pPr>
    <w:rPr>
      <w:rFonts w:eastAsiaTheme="majorEastAsia" w:cstheme="minorHAnsi"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447B2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34CF36654E46A691D7565352C40A" ma:contentTypeVersion="15" ma:contentTypeDescription="Utwórz nowy dokument." ma:contentTypeScope="" ma:versionID="e058f74baf11c371a58a94551d2df92d">
  <xsd:schema xmlns:xsd="http://www.w3.org/2001/XMLSchema" xmlns:xs="http://www.w3.org/2001/XMLSchema" xmlns:p="http://schemas.microsoft.com/office/2006/metadata/properties" xmlns:ns2="39eb80f0-77a6-4377-8542-ee70616cf7a3" xmlns:ns3="d6cde0d2-cdf3-4ac0-8ec7-edd394f001ed" targetNamespace="http://schemas.microsoft.com/office/2006/metadata/properties" ma:root="true" ma:fieldsID="b663e3dc04308ba21c5d961432bfa9a1" ns2:_="" ns3:_="">
    <xsd:import namespace="39eb80f0-77a6-4377-8542-ee70616cf7a3"/>
    <xsd:import namespace="d6cde0d2-cdf3-4ac0-8ec7-edd394f0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80f0-77a6-4377-8542-ee70616c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e0d2-cdf3-4ac0-8ec7-edd394f0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8778c-219a-4b49-ac4b-31801a8ab4cb}" ma:internalName="TaxCatchAll" ma:showField="CatchAllData" ma:web="d6cde0d2-cdf3-4ac0-8ec7-edd394f0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2B654-7FBE-4287-B375-B7D06B3E8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01073-C23C-4792-992C-3734D298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b80f0-77a6-4377-8542-ee70616cf7a3"/>
    <ds:schemaRef ds:uri="d6cde0d2-cdf3-4ac0-8ec7-edd394f0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F72C-A279-42C9-B9F3-A6BFBC9F87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umowy - Taryfikator korekt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umowy - Taryfikator korekt z tytułu naruszeń zasad udzielania zamówień</dc:title>
  <dc:creator>Monika Staniec</dc:creator>
  <cp:lastModifiedBy>Wyszomirska-Salem Małgorzata</cp:lastModifiedBy>
  <cp:revision>8</cp:revision>
  <dcterms:created xsi:type="dcterms:W3CDTF">2026-04-20T07:16:00Z</dcterms:created>
  <dcterms:modified xsi:type="dcterms:W3CDTF">2026-05-26T09:11:00Z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0x0101007E1B34CF36654E46A691D7565352C40A</vt:lpwstr>
  </property>
</Properties>
</file>